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openxmlformats.org/package/2006/relationships/digital-signature/origin" Target="_xmlsignatures/origin.sigs"/><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88" w:type="dxa"/>
        <w:tblLook w:val="04A0" w:firstRow="1" w:lastRow="0" w:firstColumn="1" w:lastColumn="0" w:noHBand="0" w:noVBand="1"/>
      </w:tblPr>
      <w:tblGrid>
        <w:gridCol w:w="5328"/>
        <w:gridCol w:w="3960"/>
      </w:tblGrid>
      <w:tr w:rsidR="00634F9D" w:rsidRPr="00CC55FD" w14:paraId="52219895" w14:textId="77777777" w:rsidTr="00270D56">
        <w:trPr>
          <w:trHeight w:val="701"/>
        </w:trPr>
        <w:tc>
          <w:tcPr>
            <w:tcW w:w="5328" w:type="dxa"/>
            <w:vAlign w:val="center"/>
          </w:tcPr>
          <w:p w14:paraId="63BC1E3B" w14:textId="77777777" w:rsidR="009F145B" w:rsidRPr="00A62440" w:rsidRDefault="009F145B" w:rsidP="00A62440">
            <w:pPr>
              <w:spacing w:after="0" w:line="240" w:lineRule="auto"/>
              <w:rPr>
                <w:rFonts w:ascii="Times New Roman" w:eastAsia="Times New Roman" w:hAnsi="Times New Roman" w:cs="Times New Roman"/>
                <w:b/>
                <w:bCs/>
              </w:rPr>
            </w:pPr>
            <w:bookmarkStart w:id="0" w:name="_Hlk116817560"/>
            <w:r w:rsidRPr="00A62440">
              <w:rPr>
                <w:rFonts w:ascii="Times New Roman" w:eastAsia="Times New Roman" w:hAnsi="Times New Roman" w:cs="Times New Roman"/>
                <w:b/>
                <w:bCs/>
              </w:rPr>
              <w:t xml:space="preserve">Công ty TNHH Quản </w:t>
            </w:r>
            <w:proofErr w:type="spellStart"/>
            <w:r w:rsidRPr="00A62440">
              <w:rPr>
                <w:rFonts w:ascii="Times New Roman" w:eastAsia="Times New Roman" w:hAnsi="Times New Roman" w:cs="Times New Roman"/>
                <w:b/>
                <w:bCs/>
              </w:rPr>
              <w:t>lý</w:t>
            </w:r>
            <w:proofErr w:type="spellEnd"/>
            <w:r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Eastspring Investments</w:t>
            </w:r>
          </w:p>
          <w:p w14:paraId="2B7655B3" w14:textId="25EE2E83" w:rsidR="00BB2442" w:rsidRPr="00A62440" w:rsidRDefault="009F145B" w:rsidP="00A62440">
            <w:pPr>
              <w:spacing w:after="0" w:line="240" w:lineRule="auto"/>
              <w:rPr>
                <w:rFonts w:ascii="Times New Roman" w:eastAsia="Times New Roman" w:hAnsi="Times New Roman" w:cs="Times New Roman"/>
                <w:b/>
                <w:bCs/>
                <w:lang w:eastAsia="en-GB"/>
              </w:rPr>
            </w:pPr>
            <w:proofErr w:type="spellStart"/>
            <w:r w:rsidRPr="00A62440">
              <w:rPr>
                <w:rFonts w:ascii="Times New Roman" w:eastAsia="Times New Roman" w:hAnsi="Times New Roman" w:cs="Times New Roman"/>
                <w:b/>
                <w:bCs/>
              </w:rPr>
              <w:t>Quỹ</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Đ</w:t>
            </w:r>
            <w:r w:rsidR="009E72E6" w:rsidRPr="00A62440">
              <w:rPr>
                <w:rFonts w:ascii="Times New Roman" w:eastAsia="Times New Roman" w:hAnsi="Times New Roman" w:cs="Times New Roman"/>
                <w:b/>
                <w:bCs/>
              </w:rPr>
              <w:t>ầu</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tư</w:t>
            </w:r>
            <w:proofErr w:type="spellEnd"/>
            <w:r w:rsidRPr="00A62440">
              <w:rPr>
                <w:rFonts w:ascii="Times New Roman" w:eastAsia="Times New Roman" w:hAnsi="Times New Roman" w:cs="Times New Roman"/>
                <w:b/>
                <w:bCs/>
              </w:rPr>
              <w:t xml:space="preserve"> </w:t>
            </w:r>
            <w:proofErr w:type="spellStart"/>
            <w:r w:rsidR="009E72E6">
              <w:rPr>
                <w:rFonts w:ascii="Times New Roman" w:eastAsia="Times New Roman" w:hAnsi="Times New Roman" w:cs="Times New Roman"/>
                <w:b/>
                <w:bCs/>
              </w:rPr>
              <w:t>N</w:t>
            </w:r>
            <w:r w:rsidR="009E72E6" w:rsidRPr="00A62440">
              <w:rPr>
                <w:rFonts w:ascii="Times New Roman" w:eastAsia="Times New Roman" w:hAnsi="Times New Roman" w:cs="Times New Roman"/>
                <w:b/>
                <w:bCs/>
              </w:rPr>
              <w:t>ăng</w:t>
            </w:r>
            <w:proofErr w:type="spellEnd"/>
            <w:r w:rsidR="009E72E6" w:rsidRPr="00A62440">
              <w:rPr>
                <w:rFonts w:ascii="Times New Roman" w:eastAsia="Times New Roman" w:hAnsi="Times New Roman" w:cs="Times New Roman"/>
                <w:b/>
                <w:bCs/>
              </w:rPr>
              <w:t xml:space="preserve"> </w:t>
            </w:r>
            <w:proofErr w:type="spellStart"/>
            <w:r w:rsidRPr="00A62440">
              <w:rPr>
                <w:rFonts w:ascii="Times New Roman" w:eastAsia="Times New Roman" w:hAnsi="Times New Roman" w:cs="Times New Roman"/>
                <w:b/>
                <w:bCs/>
              </w:rPr>
              <w:t>động</w:t>
            </w:r>
            <w:proofErr w:type="spellEnd"/>
            <w:r w:rsidRPr="00A62440">
              <w:rPr>
                <w:rFonts w:ascii="Times New Roman" w:eastAsia="Times New Roman" w:hAnsi="Times New Roman" w:cs="Times New Roman"/>
                <w:b/>
                <w:bCs/>
              </w:rPr>
              <w:t xml:space="preserve"> Eastspring Investments Việt Nam (ENF)</w:t>
            </w:r>
          </w:p>
        </w:tc>
        <w:tc>
          <w:tcPr>
            <w:tcW w:w="3960" w:type="dxa"/>
          </w:tcPr>
          <w:p w14:paraId="75C28DA3" w14:textId="77777777" w:rsidR="00634F9D" w:rsidRPr="00A62440" w:rsidRDefault="006735BD" w:rsidP="00A62440">
            <w:pPr>
              <w:spacing w:after="0" w:line="240" w:lineRule="auto"/>
              <w:jc w:val="right"/>
              <w:rPr>
                <w:rFonts w:ascii="Times New Roman" w:eastAsia="Times New Roman" w:hAnsi="Times New Roman" w:cs="Times New Roman"/>
                <w:b/>
                <w:bCs/>
                <w:i/>
                <w:lang w:eastAsia="en-GB"/>
              </w:rPr>
            </w:pPr>
            <w:proofErr w:type="spellStart"/>
            <w:r w:rsidRPr="00A62440">
              <w:rPr>
                <w:rFonts w:ascii="Times New Roman" w:eastAsia="Times New Roman" w:hAnsi="Times New Roman" w:cs="Times New Roman"/>
                <w:b/>
                <w:bCs/>
                <w:i/>
                <w:lang w:eastAsia="en-GB"/>
              </w:rPr>
              <w:t>Mẫu</w:t>
            </w:r>
            <w:proofErr w:type="spellEnd"/>
            <w:r w:rsidRPr="00A62440">
              <w:rPr>
                <w:rFonts w:ascii="Times New Roman" w:eastAsia="Times New Roman" w:hAnsi="Times New Roman" w:cs="Times New Roman"/>
                <w:b/>
                <w:bCs/>
                <w:i/>
                <w:lang w:eastAsia="en-GB"/>
              </w:rPr>
              <w:t xml:space="preserve"> </w:t>
            </w:r>
            <w:proofErr w:type="spellStart"/>
            <w:r w:rsidRPr="00A62440">
              <w:rPr>
                <w:rFonts w:ascii="Times New Roman" w:eastAsia="Times New Roman" w:hAnsi="Times New Roman" w:cs="Times New Roman"/>
                <w:b/>
                <w:bCs/>
                <w:i/>
                <w:lang w:eastAsia="en-GB"/>
              </w:rPr>
              <w:t>số</w:t>
            </w:r>
            <w:proofErr w:type="spellEnd"/>
            <w:r w:rsidRPr="00A62440">
              <w:rPr>
                <w:rFonts w:ascii="Times New Roman" w:eastAsia="Times New Roman" w:hAnsi="Times New Roman" w:cs="Times New Roman"/>
                <w:b/>
                <w:bCs/>
                <w:i/>
                <w:lang w:eastAsia="en-GB"/>
              </w:rPr>
              <w:t xml:space="preserve"> B06g-QM</w:t>
            </w:r>
          </w:p>
          <w:p w14:paraId="43C0AFB5" w14:textId="77777777" w:rsidR="00BB2442" w:rsidRPr="00A62440" w:rsidRDefault="00BB2442" w:rsidP="00A62440">
            <w:pPr>
              <w:spacing w:after="0" w:line="240" w:lineRule="auto"/>
              <w:jc w:val="right"/>
              <w:rPr>
                <w:rFonts w:ascii="Times New Roman" w:eastAsia="Times New Roman" w:hAnsi="Times New Roman" w:cs="Times New Roman"/>
                <w:b/>
                <w:bCs/>
                <w:i/>
                <w:lang w:eastAsia="en-GB"/>
              </w:rPr>
            </w:pPr>
            <w:r w:rsidRPr="00A62440">
              <w:rPr>
                <w:rFonts w:ascii="Times New Roman" w:eastAsia="Times New Roman" w:hAnsi="Times New Roman" w:cs="Times New Roman"/>
                <w:bCs/>
                <w:i/>
                <w:lang w:eastAsia="en-GB"/>
              </w:rPr>
              <w:t xml:space="preserve">(Ban </w:t>
            </w:r>
            <w:proofErr w:type="spellStart"/>
            <w:r w:rsidRPr="00A62440">
              <w:rPr>
                <w:rFonts w:ascii="Times New Roman" w:eastAsia="Times New Roman" w:hAnsi="Times New Roman" w:cs="Times New Roman"/>
                <w:bCs/>
                <w:i/>
                <w:lang w:eastAsia="en-GB"/>
              </w:rPr>
              <w:t>hành</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theo</w:t>
            </w:r>
            <w:proofErr w:type="spellEnd"/>
            <w:r w:rsidRPr="00A62440">
              <w:rPr>
                <w:rFonts w:ascii="Times New Roman" w:eastAsia="Times New Roman" w:hAnsi="Times New Roman" w:cs="Times New Roman"/>
                <w:bCs/>
                <w:i/>
                <w:lang w:eastAsia="en-GB"/>
              </w:rPr>
              <w:t xml:space="preserve"> TT </w:t>
            </w:r>
            <w:proofErr w:type="spellStart"/>
            <w:r w:rsidRPr="00A62440">
              <w:rPr>
                <w:rFonts w:ascii="Times New Roman" w:eastAsia="Times New Roman" w:hAnsi="Times New Roman" w:cs="Times New Roman"/>
                <w:bCs/>
                <w:i/>
                <w:lang w:eastAsia="en-GB"/>
              </w:rPr>
              <w:t>số</w:t>
            </w:r>
            <w:proofErr w:type="spellEnd"/>
            <w:r w:rsidRPr="00A62440">
              <w:rPr>
                <w:rFonts w:ascii="Times New Roman" w:eastAsia="Times New Roman" w:hAnsi="Times New Roman" w:cs="Times New Roman"/>
                <w:bCs/>
                <w:i/>
                <w:lang w:eastAsia="en-GB"/>
              </w:rPr>
              <w:t xml:space="preserve"> 198/2012/TT-BTC </w:t>
            </w:r>
            <w:proofErr w:type="spellStart"/>
            <w:r w:rsidRPr="00A62440">
              <w:rPr>
                <w:rFonts w:ascii="Times New Roman" w:eastAsia="Times New Roman" w:hAnsi="Times New Roman" w:cs="Times New Roman"/>
                <w:bCs/>
                <w:i/>
                <w:lang w:eastAsia="en-GB"/>
              </w:rPr>
              <w:t>ngày</w:t>
            </w:r>
            <w:proofErr w:type="spellEnd"/>
            <w:r w:rsidRPr="00A62440">
              <w:rPr>
                <w:rFonts w:ascii="Times New Roman" w:eastAsia="Times New Roman" w:hAnsi="Times New Roman" w:cs="Times New Roman"/>
                <w:bCs/>
                <w:i/>
                <w:lang w:eastAsia="en-GB"/>
              </w:rPr>
              <w:t xml:space="preserve"> 15/11/2012 </w:t>
            </w:r>
            <w:proofErr w:type="spellStart"/>
            <w:r w:rsidRPr="00A62440">
              <w:rPr>
                <w:rFonts w:ascii="Times New Roman" w:eastAsia="Times New Roman" w:hAnsi="Times New Roman" w:cs="Times New Roman"/>
                <w:bCs/>
                <w:i/>
                <w:lang w:eastAsia="en-GB"/>
              </w:rPr>
              <w:t>của</w:t>
            </w:r>
            <w:proofErr w:type="spellEnd"/>
            <w:r w:rsidRPr="00A62440">
              <w:rPr>
                <w:rFonts w:ascii="Times New Roman" w:eastAsia="Times New Roman" w:hAnsi="Times New Roman" w:cs="Times New Roman"/>
                <w:bCs/>
                <w:i/>
                <w:lang w:eastAsia="en-GB"/>
              </w:rPr>
              <w:t xml:space="preserve"> </w:t>
            </w:r>
            <w:proofErr w:type="spellStart"/>
            <w:r w:rsidRPr="00A62440">
              <w:rPr>
                <w:rFonts w:ascii="Times New Roman" w:eastAsia="Times New Roman" w:hAnsi="Times New Roman" w:cs="Times New Roman"/>
                <w:bCs/>
                <w:i/>
                <w:lang w:eastAsia="en-GB"/>
              </w:rPr>
              <w:t>Bộ</w:t>
            </w:r>
            <w:proofErr w:type="spellEnd"/>
            <w:r w:rsidRPr="00A62440">
              <w:rPr>
                <w:rFonts w:ascii="Times New Roman" w:eastAsia="Times New Roman" w:hAnsi="Times New Roman" w:cs="Times New Roman"/>
                <w:bCs/>
                <w:i/>
                <w:lang w:eastAsia="en-GB"/>
              </w:rPr>
              <w:t xml:space="preserve"> Tài </w:t>
            </w:r>
            <w:proofErr w:type="spellStart"/>
            <w:r w:rsidRPr="00A62440">
              <w:rPr>
                <w:rFonts w:ascii="Times New Roman" w:eastAsia="Times New Roman" w:hAnsi="Times New Roman" w:cs="Times New Roman"/>
                <w:bCs/>
                <w:i/>
                <w:lang w:eastAsia="en-GB"/>
              </w:rPr>
              <w:t>Chính</w:t>
            </w:r>
            <w:proofErr w:type="spellEnd"/>
            <w:r w:rsidRPr="00A62440">
              <w:rPr>
                <w:rFonts w:ascii="Times New Roman" w:eastAsia="Times New Roman" w:hAnsi="Times New Roman" w:cs="Times New Roman"/>
                <w:bCs/>
                <w:i/>
                <w:lang w:eastAsia="en-GB"/>
              </w:rPr>
              <w:t>)</w:t>
            </w:r>
          </w:p>
        </w:tc>
      </w:tr>
    </w:tbl>
    <w:p w14:paraId="6DE76032"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606256B9" w14:textId="77777777" w:rsidR="00634F9D" w:rsidRPr="00CC55FD" w:rsidRDefault="00634F9D" w:rsidP="00A62440">
      <w:pPr>
        <w:spacing w:after="0" w:line="240" w:lineRule="auto"/>
        <w:jc w:val="center"/>
        <w:rPr>
          <w:rFonts w:ascii="Times New Roman" w:eastAsia="Times New Roman" w:hAnsi="Times New Roman" w:cs="Times New Roman"/>
          <w:b/>
          <w:bCs/>
          <w:color w:val="000000"/>
        </w:rPr>
      </w:pPr>
    </w:p>
    <w:p w14:paraId="37A5DB16" w14:textId="77777777" w:rsidR="00B7391D" w:rsidRPr="00CC55FD" w:rsidRDefault="00B7391D" w:rsidP="00A62440">
      <w:pPr>
        <w:spacing w:after="0" w:line="240" w:lineRule="auto"/>
        <w:jc w:val="center"/>
        <w:rPr>
          <w:rFonts w:ascii="Times New Roman" w:eastAsia="Times New Roman" w:hAnsi="Times New Roman" w:cs="Times New Roman"/>
          <w:b/>
          <w:bCs/>
          <w:color w:val="000000"/>
        </w:rPr>
      </w:pPr>
    </w:p>
    <w:p w14:paraId="70D2B9B3" w14:textId="77777777" w:rsidR="0021456D" w:rsidRPr="007A39A5" w:rsidRDefault="006735BD" w:rsidP="00A62440">
      <w:pPr>
        <w:spacing w:after="0" w:line="240" w:lineRule="auto"/>
        <w:jc w:val="center"/>
        <w:rPr>
          <w:rFonts w:ascii="Times New Roman" w:eastAsia="Times New Roman" w:hAnsi="Times New Roman" w:cs="Times New Roman"/>
          <w:b/>
          <w:bCs/>
        </w:rPr>
      </w:pPr>
      <w:r w:rsidRPr="00A62440">
        <w:rPr>
          <w:rFonts w:ascii="Times New Roman" w:eastAsia="Times New Roman" w:hAnsi="Times New Roman" w:cs="Times New Roman"/>
          <w:b/>
          <w:bCs/>
        </w:rPr>
        <w:t xml:space="preserve">THUYẾT </w:t>
      </w:r>
      <w:r w:rsidRPr="007A39A5">
        <w:rPr>
          <w:rFonts w:ascii="Times New Roman" w:eastAsia="Times New Roman" w:hAnsi="Times New Roman" w:cs="Times New Roman"/>
          <w:b/>
          <w:bCs/>
        </w:rPr>
        <w:t>MINH</w:t>
      </w:r>
      <w:r w:rsidR="00B924B0" w:rsidRPr="007A39A5">
        <w:rPr>
          <w:rFonts w:ascii="Times New Roman" w:eastAsia="Times New Roman" w:hAnsi="Times New Roman" w:cs="Times New Roman"/>
          <w:b/>
          <w:bCs/>
        </w:rPr>
        <w:t xml:space="preserve"> BÁO CÁO</w:t>
      </w:r>
      <w:r w:rsidRPr="007A39A5">
        <w:rPr>
          <w:rFonts w:ascii="Times New Roman" w:eastAsia="Times New Roman" w:hAnsi="Times New Roman" w:cs="Times New Roman"/>
          <w:b/>
          <w:bCs/>
        </w:rPr>
        <w:t xml:space="preserve"> TÀI CHÍNH</w:t>
      </w:r>
    </w:p>
    <w:p w14:paraId="5F2AF8A5" w14:textId="422CA669" w:rsidR="0021456D" w:rsidRPr="007A39A5" w:rsidRDefault="0012677B" w:rsidP="00A62440">
      <w:pPr>
        <w:spacing w:after="0" w:line="240" w:lineRule="auto"/>
        <w:jc w:val="center"/>
        <w:rPr>
          <w:rFonts w:ascii="Times New Roman" w:eastAsia="Times New Roman" w:hAnsi="Times New Roman" w:cs="Times New Roman"/>
          <w:b/>
          <w:bCs/>
        </w:rPr>
      </w:pPr>
      <w:r w:rsidRPr="007A39A5">
        <w:rPr>
          <w:rFonts w:ascii="Times New Roman" w:eastAsia="Times New Roman" w:hAnsi="Times New Roman" w:cs="Times New Roman"/>
          <w:b/>
          <w:bCs/>
        </w:rPr>
        <w:t xml:space="preserve">Quý </w:t>
      </w:r>
      <w:r w:rsidR="00C60A4A">
        <w:rPr>
          <w:rFonts w:ascii="Times New Roman" w:eastAsia="Times New Roman" w:hAnsi="Times New Roman" w:cs="Times New Roman"/>
          <w:b/>
          <w:bCs/>
        </w:rPr>
        <w:t>IV</w:t>
      </w:r>
      <w:r w:rsidR="00A8301F" w:rsidRPr="007A39A5">
        <w:rPr>
          <w:rFonts w:ascii="Times New Roman" w:eastAsia="Times New Roman" w:hAnsi="Times New Roman" w:cs="Times New Roman"/>
          <w:b/>
          <w:bCs/>
        </w:rPr>
        <w:t xml:space="preserve"> </w:t>
      </w:r>
      <w:proofErr w:type="spellStart"/>
      <w:r w:rsidR="00A8301F" w:rsidRPr="007A39A5">
        <w:rPr>
          <w:rFonts w:ascii="Times New Roman" w:eastAsia="Times New Roman" w:hAnsi="Times New Roman" w:cs="Times New Roman"/>
          <w:b/>
          <w:bCs/>
        </w:rPr>
        <w:t>năm</w:t>
      </w:r>
      <w:proofErr w:type="spellEnd"/>
      <w:r w:rsidR="00A8301F" w:rsidRPr="007A39A5">
        <w:rPr>
          <w:rFonts w:ascii="Times New Roman" w:eastAsia="Times New Roman" w:hAnsi="Times New Roman" w:cs="Times New Roman"/>
          <w:b/>
          <w:bCs/>
        </w:rPr>
        <w:t xml:space="preserve"> </w:t>
      </w:r>
      <w:r w:rsidR="00EF3C04" w:rsidRPr="007A39A5">
        <w:rPr>
          <w:rFonts w:ascii="Times New Roman" w:eastAsia="Times New Roman" w:hAnsi="Times New Roman" w:cs="Times New Roman"/>
          <w:b/>
          <w:bCs/>
        </w:rPr>
        <w:t>2024</w:t>
      </w:r>
    </w:p>
    <w:p w14:paraId="0E91AC15" w14:textId="77777777" w:rsidR="0021456D" w:rsidRPr="007A39A5" w:rsidRDefault="0021456D" w:rsidP="00A62440">
      <w:pPr>
        <w:spacing w:after="0" w:line="240" w:lineRule="auto"/>
        <w:jc w:val="center"/>
        <w:rPr>
          <w:rFonts w:ascii="Times New Roman" w:eastAsia="Times New Roman" w:hAnsi="Times New Roman" w:cs="Times New Roman"/>
          <w:b/>
          <w:bCs/>
        </w:rPr>
      </w:pPr>
    </w:p>
    <w:p w14:paraId="21964693"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 Đặc điểm hoạt động của Quỹ mở</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1D1E43A1" w14:textId="4ABDFE34"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1.1. Giấy chứng nhận chào bán: Quỹ Đầu tư Năng động Eastspring Investments Việt Nam (ENF) được Ủy Ban Chứng Khoán nhà nước cấp giấy chứng nhận đăng ký chào bán số 70/GCN-UBCK ngày 04/12/2013.</w:t>
      </w:r>
      <w:r w:rsidRPr="007A39A5">
        <w:rPr>
          <w:rFonts w:ascii="Times New Roman" w:eastAsia="Times New Roman" w:hAnsi="Times New Roman" w:cs="Times New Roman"/>
          <w:bCs/>
          <w:lang w:val="vi-VN"/>
        </w:rPr>
        <w:tab/>
      </w:r>
    </w:p>
    <w:p w14:paraId="2D15433E" w14:textId="75CDFC2F" w:rsidR="008205F7" w:rsidRPr="007A39A5" w:rsidRDefault="0051425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r w:rsidR="008205F7" w:rsidRPr="007A39A5">
        <w:rPr>
          <w:rFonts w:ascii="Times New Roman" w:eastAsia="Times New Roman" w:hAnsi="Times New Roman" w:cs="Times New Roman"/>
          <w:bCs/>
          <w:lang w:val="vi-VN"/>
        </w:rPr>
        <w:tab/>
      </w:r>
    </w:p>
    <w:p w14:paraId="23C16D81" w14:textId="77777777" w:rsidR="008205F7" w:rsidRPr="007A39A5"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1.3. Địa chỉ liên hệ: Tầng 23, Tòa nhà Saigon Trade Center, 37 Tôn Đức Thắng, Phường Bến Nghé, Quận 1, Thành phố Hồ Chí Minh</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4E92A862" w14:textId="5A6F7D1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1.4. Điều lệ hoạt động Quỹ mở ban hành ngày 26 tháng 9 năm 2013 và sửa đổi lần gần nhất ngày </w:t>
      </w:r>
      <w:r w:rsidR="00370C2C" w:rsidRPr="007A39A5">
        <w:rPr>
          <w:rFonts w:ascii="Times New Roman" w:eastAsia="Times New Roman" w:hAnsi="Times New Roman" w:cs="Times New Roman"/>
          <w:bCs/>
          <w:lang w:val="vi-VN"/>
        </w:rPr>
        <w:t xml:space="preserve">25 </w:t>
      </w:r>
      <w:r w:rsidRPr="007A39A5">
        <w:rPr>
          <w:rFonts w:ascii="Times New Roman" w:eastAsia="Times New Roman" w:hAnsi="Times New Roman" w:cs="Times New Roman"/>
          <w:bCs/>
          <w:lang w:val="vi-VN"/>
        </w:rPr>
        <w:t xml:space="preserve">tháng </w:t>
      </w:r>
      <w:r w:rsidR="00370C2C" w:rsidRPr="007A39A5">
        <w:rPr>
          <w:rFonts w:ascii="Times New Roman" w:eastAsia="Times New Roman" w:hAnsi="Times New Roman" w:cs="Times New Roman"/>
          <w:bCs/>
          <w:lang w:val="vi-VN"/>
        </w:rPr>
        <w:t xml:space="preserve">04 </w:t>
      </w:r>
      <w:r w:rsidRPr="007A39A5">
        <w:rPr>
          <w:rFonts w:ascii="Times New Roman" w:eastAsia="Times New Roman" w:hAnsi="Times New Roman" w:cs="Times New Roman"/>
          <w:bCs/>
          <w:lang w:val="vi-VN"/>
        </w:rPr>
        <w:t xml:space="preserve">năm </w:t>
      </w:r>
      <w:r w:rsidR="00370C2C" w:rsidRPr="007A39A5">
        <w:rPr>
          <w:rFonts w:ascii="Times New Roman" w:eastAsia="Times New Roman" w:hAnsi="Times New Roman" w:cs="Times New Roman"/>
          <w:bCs/>
          <w:lang w:val="vi-VN"/>
        </w:rPr>
        <w:t>2024</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B528C1E" w14:textId="77777777"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1.5. Những đặc điểm chính về hoạt động Quỹ mở.</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8D656E7" w14:textId="6824EA60"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A62440">
        <w:rPr>
          <w:rFonts w:ascii="Times New Roman" w:eastAsia="Times New Roman" w:hAnsi="Times New Roman" w:cs="Times New Roman"/>
          <w:bCs/>
          <w:lang w:val="vi-VN"/>
        </w:rPr>
        <w:tab/>
      </w:r>
    </w:p>
    <w:p w14:paraId="31D0CD6F" w14:textId="1F41C546"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00CC55FD" w:rsidRPr="00A62440">
        <w:rPr>
          <w:rFonts w:ascii="Times New Roman" w:eastAsia="Times New Roman" w:hAnsi="Times New Roman" w:cs="Times New Roman"/>
          <w:bCs/>
          <w:lang w:val="vi-VN"/>
        </w:rPr>
        <w:t>.</w:t>
      </w:r>
    </w:p>
    <w:p w14:paraId="3265FC48" w14:textId="0F4A6517"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p>
    <w:p w14:paraId="0D8C31A6" w14:textId="55407C3A" w:rsidR="008205F7" w:rsidRPr="00A62440" w:rsidRDefault="008205F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w:t>
      </w:r>
      <w:r w:rsidR="00514257" w:rsidRPr="00A62440">
        <w:rPr>
          <w:rFonts w:ascii="Times New Roman" w:eastAsia="Times New Roman" w:hAnsi="Times New Roman" w:cs="Times New Roman"/>
          <w:bCs/>
          <w:lang w:val="vi-VN"/>
        </w:rPr>
        <w:t>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p>
    <w:p w14:paraId="56595876" w14:textId="007D2F55" w:rsidR="008205F7" w:rsidRPr="00A62440" w:rsidRDefault="008205F7"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 xml:space="preserve">- </w:t>
      </w:r>
      <w:r w:rsidR="00514257" w:rsidRPr="00A62440">
        <w:rPr>
          <w:rFonts w:ascii="Times New Roman" w:eastAsia="Times New Roman" w:hAnsi="Times New Roman" w:cs="Times New Roman"/>
          <w:b/>
          <w:lang w:val="vi-VN"/>
        </w:rPr>
        <w:t>Hạn chế đầu tư của Quỹ mở: Quỹ đầu tư ENF sẽ tuân theo các hạn chế đầu tư sau đây:</w:t>
      </w:r>
    </w:p>
    <w:p w14:paraId="1941B64A" w14:textId="06760DB3"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
          <w:lang w:val="vi-VN"/>
        </w:rPr>
        <w:t xml:space="preserve">A/ Vốn và tài sản của Quỹ khi được đầu tư phải tuân thủ theo các quy định sau: </w:t>
      </w:r>
    </w:p>
    <w:p w14:paraId="6B25480A" w14:textId="70A2338C" w:rsidR="008205F7" w:rsidRPr="00A62440" w:rsidRDefault="00514257"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008205F7" w:rsidRPr="00A62440">
        <w:rPr>
          <w:rFonts w:ascii="Times New Roman" w:eastAsia="Times New Roman" w:hAnsi="Times New Roman" w:cs="Times New Roman"/>
          <w:bCs/>
          <w:lang w:val="vi-VN"/>
        </w:rPr>
        <w:tab/>
      </w:r>
    </w:p>
    <w:p w14:paraId="1B34823D" w14:textId="0EC15BCC" w:rsidR="00CC55FD" w:rsidRPr="009E72E6" w:rsidRDefault="00514257"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Không được đầu tư vào chứng khoán của một tổ chức phát hành quá 10% tổng giá trị chứng khoán đang lưu hành của tổ chức đó, trừ công cụ nợ của Chính phủ;</w:t>
      </w:r>
    </w:p>
    <w:p w14:paraId="4CF3B12B" w14:textId="63D0189F"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p>
    <w:p w14:paraId="1E83745D" w14:textId="18CC4B46"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lastRenderedPageBreak/>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p>
    <w:p w14:paraId="5C5A8EAC" w14:textId="4E642285" w:rsidR="00CC55FD"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p>
    <w:p w14:paraId="3F3DF80B" w14:textId="12CC91D9"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f) Tổng giá trị các danh mục đầu tư lớn trong danh mục đầu tư của Quỹ không được vượt quá 40% tổng giá trị tài sản của Quỹ;</w:t>
      </w:r>
    </w:p>
    <w:p w14:paraId="61D52548" w14:textId="07BB4C32" w:rsidR="00BA7AB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 Tại mọi thời điểm, dư nợ vay và các khoản phải trả của Quỹ không được vượt quá giá trị tài sản ròng của Quỹ;</w:t>
      </w:r>
    </w:p>
    <w:p w14:paraId="77959E8F" w14:textId="6642106E"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h) Quỹ không được đầu tư vào chứng chỉ quỹ của Quỹ hay các quỹ đầu tư chứng khoán, cổ phiếu của các công ty đầu tư chứng khoán được thành lập và hoạt động tại Việt Nam;</w:t>
      </w:r>
    </w:p>
    <w:p w14:paraId="6547D145" w14:textId="1F216F39"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i)  Quỹ không được đầu tư trực tiếp vào bất động sản, đá quý, kim loại quý hiếm; và</w:t>
      </w:r>
      <w:r w:rsidR="008205F7" w:rsidRPr="00A62440">
        <w:rPr>
          <w:rFonts w:ascii="Times New Roman" w:eastAsia="Times New Roman" w:hAnsi="Times New Roman" w:cs="Times New Roman"/>
          <w:bCs/>
          <w:lang w:val="vi-VN"/>
        </w:rPr>
        <w:tab/>
      </w:r>
    </w:p>
    <w:p w14:paraId="0F343330" w14:textId="3F9D899C"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j) Danh mục đầu tư của Quỹ phải có chứng khoán của ít nhất sáu (6) tổ chức phát hành.</w:t>
      </w:r>
      <w:r w:rsidR="008205F7" w:rsidRPr="00A62440">
        <w:rPr>
          <w:rFonts w:ascii="Times New Roman" w:eastAsia="Times New Roman" w:hAnsi="Times New Roman" w:cs="Times New Roman"/>
          <w:bCs/>
          <w:lang w:val="vi-VN"/>
        </w:rPr>
        <w:tab/>
      </w:r>
    </w:p>
    <w:p w14:paraId="22AAA25C" w14:textId="7489B816" w:rsidR="00BA7AB2" w:rsidRPr="00A62440" w:rsidRDefault="008E5ADB" w:rsidP="00A62440">
      <w:pPr>
        <w:spacing w:before="120" w:after="120" w:line="240" w:lineRule="auto"/>
        <w:jc w:val="both"/>
        <w:rPr>
          <w:rFonts w:ascii="Times New Roman" w:eastAsia="Times New Roman" w:hAnsi="Times New Roman" w:cs="Times New Roman"/>
          <w:b/>
          <w:lang w:val="vi-VN"/>
        </w:rPr>
      </w:pPr>
      <w:r w:rsidRPr="00A62440">
        <w:rPr>
          <w:rFonts w:ascii="Times New Roman" w:eastAsia="Times New Roman" w:hAnsi="Times New Roman" w:cs="Times New Roman"/>
          <w:b/>
          <w:lang w:val="vi-VN"/>
        </w:rPr>
        <w:t>B/ Ngoại trừ quy định tại các điểm g, h, i, j, f cơ cấu đầu tư của Quỹ được phép sai lệch so với các hạn chế đầu tư và chỉ do các nguyên nhân sau:</w:t>
      </w:r>
    </w:p>
    <w:p w14:paraId="57ED8DE2" w14:textId="0796235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a) Biến động giá trên thị trường của tài sản trong danh mục đầu tư của Quỹ;</w:t>
      </w:r>
    </w:p>
    <w:p w14:paraId="4F68F822" w14:textId="7FEB51DD"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b) Thực hiện các khoản thanh toán của quỹ theo quy định của pháp luật, bao gồm việc thực hiện lệnh giao dịch của Nhà Đầu tư;</w:t>
      </w:r>
    </w:p>
    <w:p w14:paraId="12F3FA4F"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c) Hoạt động chia tách, hợp nhất, sáp nhập của các tổ chức phát hành;</w:t>
      </w:r>
    </w:p>
    <w:p w14:paraId="22A880BD"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p>
    <w:p w14:paraId="74C39FC4" w14:textId="7AAAD285" w:rsidR="008205F7"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e) Quỹ đang trong thời gian giải thể.</w:t>
      </w:r>
    </w:p>
    <w:p w14:paraId="24DEEDD7"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 Kỳ kế toán, đơn vị tiền tệ sử dụng trong kế toán:</w:t>
      </w:r>
    </w:p>
    <w:p w14:paraId="20C4ACD5" w14:textId="6353E75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2.1. Kỳ kế toán: Kỳ kế toán năm của quỹ là từ ngày 01/01 đến ngày 31/12 hàng năm.</w:t>
      </w:r>
    </w:p>
    <w:p w14:paraId="4CA7C0A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2.2. Đơn vị tiền tệ sử dụng trong kế toán: Báo cáo tài chính được lập và trình bày bằng đồng Việt Nam (“VNĐ”)</w:t>
      </w:r>
    </w:p>
    <w:p w14:paraId="47D9500E"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3. Chuẩn mực và Chế độ kế toán áp dụng</w:t>
      </w:r>
    </w:p>
    <w:p w14:paraId="73294B5A" w14:textId="30020DE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3.1. Chế độ kế toán áp dụng: Chế độ Kế toán Quỹ mở ban hành theo thông tư số 198/2012/TT-BTC ngày 15/11/2012  của Bộ Tài Chính.</w:t>
      </w:r>
    </w:p>
    <w:p w14:paraId="123C9E87" w14:textId="5CBF99D9"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98/2020TT-BTC ngày 16 tháng 11 năm 2020 do Bộ Tài chính ban hành (“Thông tư 98”) về hướng dẫn hoạt động và quản lý quỹ đầu tư chứng khoán và các quy định pháp lý có liên quan đến việc lập và trình bày báo cáo tài chính.</w:t>
      </w:r>
    </w:p>
    <w:p w14:paraId="765F1600"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3.3. Hình thức kế toán áp dụng: Quỹ áp dụng hình thức kế toán Nhật ký Chung.</w:t>
      </w:r>
    </w:p>
    <w:p w14:paraId="63D48B15" w14:textId="77777777" w:rsidR="00CC55FD"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p>
    <w:p w14:paraId="32989E4C" w14:textId="28E7E8A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4. Các chính sách kế toán áp dụng</w:t>
      </w:r>
    </w:p>
    <w:p w14:paraId="4BCE6549" w14:textId="36F4D1AD" w:rsidR="008205F7"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Việc lập Báo cáo Tài chính Quý </w:t>
      </w:r>
      <w:r w:rsidR="007A39A5" w:rsidRPr="007A39A5">
        <w:rPr>
          <w:rFonts w:ascii="Times New Roman" w:eastAsia="Times New Roman" w:hAnsi="Times New Roman" w:cs="Times New Roman"/>
          <w:bCs/>
          <w:lang w:val="vi-VN"/>
        </w:rPr>
        <w:t>III</w:t>
      </w:r>
      <w:r w:rsidRPr="007A39A5">
        <w:rPr>
          <w:rFonts w:ascii="Times New Roman" w:eastAsia="Times New Roman" w:hAnsi="Times New Roman" w:cs="Times New Roman"/>
          <w:bCs/>
          <w:lang w:val="vi-VN"/>
        </w:rPr>
        <w:t xml:space="preserve"> Năm </w:t>
      </w:r>
      <w:r w:rsidR="007A39A5" w:rsidRPr="007A39A5">
        <w:rPr>
          <w:rFonts w:ascii="Times New Roman" w:eastAsia="Times New Roman" w:hAnsi="Times New Roman" w:cs="Times New Roman"/>
          <w:bCs/>
          <w:lang w:val="vi-VN"/>
        </w:rPr>
        <w:t>2024</w:t>
      </w:r>
      <w:r w:rsidRPr="007A39A5">
        <w:rPr>
          <w:rFonts w:ascii="Times New Roman" w:eastAsia="Times New Roman" w:hAnsi="Times New Roman" w:cs="Times New Roman"/>
          <w:bCs/>
          <w:lang w:val="vi-VN"/>
        </w:rPr>
        <w:t xml:space="preserve"> cùng áp dụng chính sách kế toán với Báo cáo Tài chính năm </w:t>
      </w:r>
      <w:r w:rsidR="007A39A5" w:rsidRPr="007A39A5">
        <w:rPr>
          <w:rFonts w:ascii="Times New Roman" w:eastAsia="Times New Roman" w:hAnsi="Times New Roman" w:cs="Times New Roman"/>
          <w:bCs/>
          <w:lang w:val="vi-VN"/>
        </w:rPr>
        <w:t>2023</w:t>
      </w:r>
    </w:p>
    <w:p w14:paraId="1C1F1AA7" w14:textId="77777777" w:rsidR="00CC55FD"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 Các sự kiện hoặc giao dịch trọng yếu trong kỳ kế toán giữa niên độ</w:t>
      </w:r>
    </w:p>
    <w:p w14:paraId="3DC9D6CD" w14:textId="40230FB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5.1. Tính chu kỳ của các hoạt động kinh doanh trong kỳ kế toán giữa niên độ: Quỹ ENF hoạt động không có tính chu kỳ</w:t>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r w:rsidRPr="007A39A5">
        <w:rPr>
          <w:rFonts w:ascii="Times New Roman" w:eastAsia="Times New Roman" w:hAnsi="Times New Roman" w:cs="Times New Roman"/>
          <w:bCs/>
          <w:lang w:val="vi-VN"/>
        </w:rPr>
        <w:tab/>
      </w:r>
    </w:p>
    <w:p w14:paraId="54E75A65" w14:textId="36C9BA6A" w:rsidR="008E5ADB" w:rsidRPr="007A39A5" w:rsidRDefault="008E5ADB"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71537C8E" w:rsidR="008205F7" w:rsidRPr="007A39A5" w:rsidRDefault="008205F7" w:rsidP="00A62440">
      <w:pPr>
        <w:spacing w:before="120" w:after="120" w:line="240" w:lineRule="auto"/>
        <w:jc w:val="both"/>
        <w:rPr>
          <w:rFonts w:ascii="Times New Roman" w:eastAsia="Times New Roman" w:hAnsi="Times New Roman" w:cs="Times New Roman"/>
          <w:bCs/>
        </w:rPr>
      </w:pPr>
      <w:r w:rsidRPr="007A39A5">
        <w:rPr>
          <w:rFonts w:ascii="Times New Roman" w:eastAsia="Times New Roman" w:hAnsi="Times New Roman" w:cs="Times New Roman"/>
          <w:bCs/>
          <w:lang w:val="vi-VN"/>
        </w:rPr>
        <w:t xml:space="preserve">5.3. </w:t>
      </w:r>
      <w:r w:rsidR="00666F32" w:rsidRPr="007A39A5">
        <w:rPr>
          <w:rFonts w:ascii="Times New Roman" w:eastAsia="Times New Roman" w:hAnsi="Times New Roman" w:cs="Times New Roman"/>
          <w:bCs/>
          <w:lang w:val="vi-VN"/>
        </w:rPr>
        <w:t>Thuyết minh báo cáo tài chính</w:t>
      </w:r>
    </w:p>
    <w:p w14:paraId="507E827D" w14:textId="7AC3E753" w:rsidR="008205F7" w:rsidRPr="00A62440" w:rsidRDefault="00A071AD" w:rsidP="00A62440">
      <w:pPr>
        <w:spacing w:before="120" w:after="120" w:line="240" w:lineRule="auto"/>
        <w:jc w:val="both"/>
        <w:rPr>
          <w:rFonts w:ascii="Times New Roman" w:eastAsia="Times New Roman" w:hAnsi="Times New Roman" w:cs="Times New Roman"/>
          <w:bCs/>
          <w:lang w:val="vi-VN"/>
        </w:rPr>
      </w:pPr>
      <w:r w:rsidRPr="007A39A5">
        <w:rPr>
          <w:rFonts w:ascii="Times New Roman" w:eastAsia="Times New Roman" w:hAnsi="Times New Roman" w:cs="Times New Roman"/>
          <w:bCs/>
          <w:lang w:val="vi-VN"/>
        </w:rPr>
        <w:t xml:space="preserve">Phần này được trình bày theo </w:t>
      </w:r>
      <w:r w:rsidR="008E5ADB" w:rsidRPr="007A39A5">
        <w:rPr>
          <w:rFonts w:ascii="Times New Roman" w:eastAsia="Times New Roman" w:hAnsi="Times New Roman" w:cs="Times New Roman"/>
          <w:bCs/>
          <w:lang w:val="vi-VN"/>
        </w:rPr>
        <w:t xml:space="preserve">Báo Cáo Tài Chính Quỹ mở theo TT198/2012/TT-BTC Quý </w:t>
      </w:r>
      <w:r w:rsidR="007A39A5" w:rsidRPr="007A39A5">
        <w:rPr>
          <w:rFonts w:ascii="Times New Roman" w:eastAsia="Times New Roman" w:hAnsi="Times New Roman" w:cs="Times New Roman"/>
          <w:bCs/>
          <w:lang w:val="vi-VN"/>
        </w:rPr>
        <w:t>III</w:t>
      </w:r>
      <w:r w:rsidR="008E5ADB" w:rsidRPr="007A39A5">
        <w:rPr>
          <w:rFonts w:ascii="Times New Roman" w:eastAsia="Times New Roman" w:hAnsi="Times New Roman" w:cs="Times New Roman"/>
          <w:bCs/>
          <w:lang w:val="vi-VN"/>
        </w:rPr>
        <w:t xml:space="preserve"> năm </w:t>
      </w:r>
      <w:r w:rsidR="007A39A5" w:rsidRPr="007A39A5">
        <w:rPr>
          <w:rFonts w:ascii="Times New Roman" w:eastAsia="Times New Roman" w:hAnsi="Times New Roman" w:cs="Times New Roman"/>
          <w:bCs/>
          <w:lang w:val="vi-VN"/>
        </w:rPr>
        <w:t>2024</w:t>
      </w:r>
    </w:p>
    <w:p w14:paraId="2683A7A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5.4. Trong kỳ, quỹ không có bất kỳ thay đổi nào liên quan đến các ước tính kế toán </w:t>
      </w:r>
    </w:p>
    <w:p w14:paraId="38EBFC7D" w14:textId="530CA0D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5.5. Nguyên tắc và phương pháp kế toán ghi nhận nguồn vốn Quỹ mở: </w:t>
      </w:r>
    </w:p>
    <w:p w14:paraId="504218A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5.5.1. Vốn góp và thặng dư vốn:</w:t>
      </w:r>
    </w:p>
    <w:p w14:paraId="12B7D4C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của nhà đầu tư: Các chứng chỉ quỹ với quyền hưởng cổ tức được phân loại thành vốn góp của nhà đầu tư, trong đó bao gồm vốn góp phát hành và vốn góp mua lại.</w:t>
      </w:r>
    </w:p>
    <w:p w14:paraId="316B56B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7DE9DA8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11825EC8"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Thặng dư vốn góp của Nhà đầu tư : Thặng dư vốn góp phản ánh chênh lệch giữa giá trị tài sản ròng trên một chứng chỉ quỹ và mệnh giá trên một chứng chỉ quỹ được phát hành/mua lại.</w:t>
      </w:r>
    </w:p>
    <w:p w14:paraId="0E8FAF04" w14:textId="492AFEE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5.5.2. Lợi nhuận chưa phân phối:</w:t>
      </w:r>
    </w:p>
    <w:p w14:paraId="3939F5B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 chưa phân phối phản ánh lợi nhuận chưa phân phối tại thời điểm báo cáo, bao gồm lợi nhuận đã thực hiện và lợi nhuận chưa thực hiện.</w:t>
      </w:r>
    </w:p>
    <w:p w14:paraId="7F94F97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113472E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nhuận/(lỗ) chưa thực hiện là tổng giá trị lãi/(lỗ) đánh giá lại của các khoản đầu tư thuộc danh mục đầu tư của Quỹ lũy kế phát sinh trong năm.</w:t>
      </w:r>
    </w:p>
    <w:p w14:paraId="2429B64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Cuối kỳ kế toán năm, Quỹ xác định lợi nhuận/(lỗ) đã thực hiện và lợi nhuận/(lỗ) chưa thực hiện trong năm và ghi nhận vào “Lợi nhuận chưa phân phối” trên báo cáo tình hình tài chính.</w:t>
      </w:r>
    </w:p>
    <w:p w14:paraId="6F41B261" w14:textId="07FC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w:t>
      </w:r>
    </w:p>
    <w:p w14:paraId="46651A1D" w14:textId="72E8D6B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phản ánh số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trong năm.</w:t>
      </w:r>
    </w:p>
    <w:p w14:paraId="5169CC12" w14:textId="1AA525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ghi nhận lợi nhuận/</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tài sản đã phân phối cho nhà đầu tư dựa trên Nghị quyết của Đại hội Nhà đầu tư, phù hợp với Điều lệ của Quỹ mở và quy định của pháp luật chứng khoán hiện hành.</w:t>
      </w:r>
    </w:p>
    <w:p w14:paraId="4F9E6E6C" w14:textId="319C39F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5.5.3. Chứng chỉ Quỹ và Giá trị tài sản ròng có thể phân phối cho Nhà đầu tư nắm giữ chứng chỉ quỹ:</w:t>
      </w:r>
    </w:p>
    <w:p w14:paraId="0BFF0A2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5235BA6F" w14:textId="32EA1153"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723E119B" w14:textId="507A089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Tất cả các chứng chỉ quỹ phát hành cho Nhà đầu tư đều có các quyền biểu quyết, quyền hưởng cổ tức, quyền được bán lại và các quyền khác như nhau.</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 xml:space="preserve">Mỗi chứng chỉ quỹ đã phát hành tương ứng với một quyền biểu quyết tại các cuộc họp thường niên của Quỹ và có quyền được hưởng cổ tức mà Quỹ công bố vào từng thời điểm. </w:t>
      </w:r>
    </w:p>
    <w:p w14:paraId="52366CFB" w14:textId="76493C8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trị tài sản ròng có thể phân phối cho nhà đầu tư nắm giữ chứng chỉ quỹ mở đồng thời cũng phản ánh lợi nhuận chưa phân phối, vốn góp của Nhà đầu tư và thặng dư vốn góp.</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Trong đó, vốn góp của Nhà đầu tư của Quỹ bao gồm vốn góp phát hành và vốn góp mua lại.</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Thặng dư vốn góp của Nhà đầu tư phản ánh chênh lệch giữa thu/chi thực tế từ việc phát hành/mua lại chứng chỉ quỹ dựa trên tài sản ròng trên một chứng chỉ quỹ và mệnh giá trên một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Lợi nhuận chưa phân phối của Quỹ bao gồm lợi nhuận đã thực hiện và lợi nhuận chưa thực hiện.</w:t>
      </w:r>
    </w:p>
    <w:p w14:paraId="277204E9"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p>
    <w:p w14:paraId="48C8BBBF" w14:textId="01BF6A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5.6. Nguyên tắc và phương pháp kế toán ghi nhận các khoản thu nhập, doanh thu Quỹ mở</w:t>
      </w:r>
      <w:r w:rsidR="00CC55FD" w:rsidRPr="00A62440">
        <w:rPr>
          <w:rFonts w:ascii="Times New Roman" w:eastAsia="Times New Roman" w:hAnsi="Times New Roman" w:cs="Times New Roman"/>
          <w:bCs/>
          <w:lang w:val="vi-VN"/>
        </w:rPr>
        <w:t>:</w:t>
      </w:r>
    </w:p>
    <w:p w14:paraId="57D777F6" w14:textId="66499C8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Doanh thu được ghi nhận khi Quỹ có khả năng tương đối chắc chắn nhận được các lợi ích kinh tế và các khoản doanh thu này có thể xác định được một cách đáng tin cậy.</w:t>
      </w:r>
    </w:p>
    <w:p w14:paraId="0021EF9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lãi trái phiếu và cổ tức:</w:t>
      </w:r>
    </w:p>
    <w:p w14:paraId="30F11174" w14:textId="31084ECD"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lãi tiền gửi và lãi trái phiếu được ghi nhận trong báo cáo thu nhập trên cơ sở dồn tích trừ khi khả năng thu hồi không chắc chắn</w:t>
      </w:r>
      <w:r w:rsidR="00CC55FD" w:rsidRPr="00A62440">
        <w:rPr>
          <w:rFonts w:ascii="Times New Roman" w:eastAsia="Times New Roman" w:hAnsi="Times New Roman" w:cs="Times New Roman"/>
          <w:bCs/>
          <w:lang w:val="vi-VN"/>
        </w:rPr>
        <w:t>.</w:t>
      </w:r>
    </w:p>
    <w:p w14:paraId="2B375F5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cổ tức được ghi nhận khi quyền nhận cổ tức của Quỹ được xác lập.  Cổ tức bằng cổ phiếu không được ghi nhận là thu nhập.</w:t>
      </w:r>
    </w:p>
    <w:p w14:paraId="065075E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w:t>
      </w:r>
    </w:p>
    <w:p w14:paraId="57C8D43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773EF16B"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5.7. Nguyên tắc và phương pháp kế toán ghi nhận chi phí:</w:t>
      </w:r>
    </w:p>
    <w:p w14:paraId="01DA6F2B" w14:textId="349C9CFA"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khoản chi phí được ghi nhận trong báo cáo thu nhập khi phát sinh.</w:t>
      </w:r>
    </w:p>
    <w:p w14:paraId="3F2C92F2" w14:textId="06979FC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5.8. Sự kiện trọng yếu phát sinh sau ngày kết thúc kỳ kế toán giữa niên độ chưa được phản ánh trong</w:t>
      </w:r>
      <w:r w:rsidR="00CC55FD"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Báo cáo tài chính giữa niên độ đó: Không có</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2C0E197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5.9. Trình bày các chính sách định giá các khoản đầu tư:</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33F2E17D" w14:textId="7A1C7329"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Đồng Việt Nam: Số dư tiền mặt tại ngày trước ngày định giá.</w:t>
      </w:r>
    </w:p>
    <w:p w14:paraId="07C13F4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Ngoại tệ: Giá trị quy đổi ra VND theo tỷ giá hiện hành tại các tổ chức tín dụng được phép kinh doanh ngoại hối tại ngày trước ngày định giá</w:t>
      </w:r>
    </w:p>
    <w:p w14:paraId="1BA5F3A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Tiền gửi kỳ hạn: Giá trị tiền gửi cộng lãi chưa được thanh toán tính tới ngày trước ngày định giá</w:t>
      </w:r>
    </w:p>
    <w:p w14:paraId="4880BAC9"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Tín phiếu kho bạc, chứng chỉ tiền gửi có thể chuyển nhượng và các công cụ thị trường tiền tệ khác: Giá mua cộng với lãi lũy kế tính tới ngày trước ngày định giá.</w:t>
      </w:r>
    </w:p>
    <w:p w14:paraId="0D8A938E" w14:textId="19B4300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00CC55FD" w:rsidRPr="00A62440">
        <w:rPr>
          <w:rFonts w:ascii="Times New Roman" w:eastAsia="Times New Roman" w:hAnsi="Times New Roman" w:cs="Times New Roman"/>
          <w:bCs/>
          <w:lang w:val="vi-VN"/>
        </w:rPr>
        <w:t>.</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500A201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w:t>
      </w:r>
    </w:p>
    <w:p w14:paraId="04219010"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Trái phiếu niêm yết:</w:t>
      </w:r>
    </w:p>
    <w:p w14:paraId="1846296C" w14:textId="0D189BE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 Giá yết bình quân trên hệ thống giao dịch hoặc tên gọi khác, tùy thuộc vào quy định nội bộ của Sở giao dịch chứng khoán tại ngày có giao dịch gần nhất trước ngày định giá cộng lãi lũy kế;</w:t>
      </w:r>
    </w:p>
    <w:p w14:paraId="56AFC71C"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Trong trường hợp không có giao dịch nhiều hơn 15 ngày tính đến ngày định giá, giá trái phiếu sẽ được xác định theo thứ tự ưu tiên như sau: </w:t>
      </w:r>
    </w:p>
    <w:p w14:paraId="307663D3" w14:textId="76C6D45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r w:rsidR="006820F2" w:rsidRPr="00A62440">
        <w:rPr>
          <w:rFonts w:ascii="Times New Roman" w:eastAsia="Times New Roman" w:hAnsi="Times New Roman" w:cs="Times New Roman"/>
          <w:bCs/>
          <w:lang w:val="vi-VN"/>
        </w:rPr>
        <w:t>.</w:t>
      </w:r>
    </w:p>
    <w:p w14:paraId="48E069A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6441D088"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4BE9D95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Mệnh giá cộng lãi lũy kế; </w:t>
      </w:r>
    </w:p>
    <w:p w14:paraId="6543693E" w14:textId="663CF31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r w:rsidRPr="00A62440">
        <w:rPr>
          <w:rFonts w:ascii="Times New Roman" w:eastAsia="Times New Roman" w:hAnsi="Times New Roman" w:cs="Times New Roman"/>
          <w:bCs/>
          <w:lang w:val="vi-VN"/>
        </w:rPr>
        <w:tab/>
      </w:r>
    </w:p>
    <w:p w14:paraId="662967C8" w14:textId="6E592866"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Trái phiếu không niêm yết:</w:t>
      </w:r>
    </w:p>
    <w:p w14:paraId="5D7F51F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7877BF8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không có các loại giá nêu trên, giá trái phiếu không niêm yết sẽ được xác định theo thứ tự ưu tiên sau:</w:t>
      </w:r>
    </w:p>
    <w:p w14:paraId="24FA84BE" w14:textId="46802550"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39C32E9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hợp lý sử dụng các kỹ thuật định giá phù hợp được phê duyệt bởi BĐDQ; </w:t>
      </w:r>
    </w:p>
    <w:p w14:paraId="0FDF07D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Mệnh giá cộng lãi lũy kế;</w:t>
      </w:r>
    </w:p>
    <w:p w14:paraId="7A3D54D1"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 cộng lãi lũy kế.</w:t>
      </w:r>
    </w:p>
    <w:p w14:paraId="78D38091" w14:textId="06A63AA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w:t>
      </w:r>
    </w:p>
    <w:p w14:paraId="64F82DEA" w14:textId="7BF82565"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niêm yết</w:t>
      </w:r>
    </w:p>
    <w:p w14:paraId="200651F0"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7273CAB2" w14:textId="4101FF60"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5F33FCF5" w14:textId="4BC88D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w:t>
      </w:r>
      <w:r w:rsidR="006820F2" w:rsidRPr="00A62440">
        <w:rPr>
          <w:rFonts w:ascii="Times New Roman" w:eastAsia="Times New Roman" w:hAnsi="Times New Roman" w:cs="Times New Roman"/>
          <w:bCs/>
          <w:lang w:val="vi-VN"/>
        </w:rPr>
        <w:t xml:space="preserve"> </w:t>
      </w:r>
      <w:r w:rsidRPr="00A62440">
        <w:rPr>
          <w:rFonts w:ascii="Times New Roman" w:eastAsia="Times New Roman" w:hAnsi="Times New Roman" w:cs="Times New Roman"/>
          <w:bCs/>
          <w:lang w:val="vi-VN"/>
        </w:rPr>
        <w:t>Việc sử dụng giá cũ này phải được giám sát và tuân theo Chính sách sử dụng giá cũ quy định trong Chính sách Định giá tài sản;</w:t>
      </w:r>
    </w:p>
    <w:p w14:paraId="687C2B3A"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E93434E"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728A1579" w14:textId="0DF330D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3666B2D3" w14:textId="42C995B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Công ty đại chúng đăng ký giao dịch trên hệ thống UpCom</w:t>
      </w:r>
    </w:p>
    <w:p w14:paraId="1CE729D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đóng cửa hoặc tên gọi khác, tùy thuộc vào quy định nội bộ của Sở giao dịch chứng khoán của ngày có giao dịch gần nhất trước ngày định giá;</w:t>
      </w:r>
    </w:p>
    <w:p w14:paraId="6B3CC0C5"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Trường hợp không có giao dịch nhiều hơn 15 ngày tính đến ngày định giá, giá sẽ được xác định theo thứ tự ưu tiên sau:</w:t>
      </w:r>
    </w:p>
    <w:p w14:paraId="14BC311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12B40C0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203D7B99" w14:textId="0E35EB7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sổ sách theo báo cáo tài chính gần nhất đã được kiểm toán hoặc soát xét;</w:t>
      </w:r>
    </w:p>
    <w:p w14:paraId="2F545FF8" w14:textId="77777777" w:rsidR="006820F2" w:rsidRPr="009E72E6"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mua.</w:t>
      </w:r>
    </w:p>
    <w:p w14:paraId="3F1FA5E4" w14:textId="2D9B067B"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lastRenderedPageBreak/>
        <w:t>Cổ phiếu bị đình chỉ giao dịch, hoặc hủy niêm yết hoặc hủy đăng ký giao dịch</w:t>
      </w:r>
    </w:p>
    <w:p w14:paraId="3C2BED93"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được xác định theo thứ tự ưu tiên sau:</w:t>
      </w:r>
    </w:p>
    <w:p w14:paraId="7C4600C2"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cuối cùng có sẵn (giá cũ). Việc sử dụng giá cũ này phải được giám sát và tuân theo Chính sách sử dụng giá cũ quy định trong Chính sách Định giá tài sản;</w:t>
      </w:r>
    </w:p>
    <w:p w14:paraId="249802F2" w14:textId="158272A1" w:rsidR="008E5ADB" w:rsidRPr="00A62440" w:rsidRDefault="008E5ADB" w:rsidP="00A62440">
      <w:pPr>
        <w:spacing w:before="120" w:after="120" w:line="240" w:lineRule="auto"/>
        <w:jc w:val="both"/>
        <w:rPr>
          <w:rFonts w:ascii="Times New Roman" w:eastAsia="Times New Roman" w:hAnsi="Times New Roman" w:cs="Times New Roman"/>
          <w:bCs/>
        </w:rPr>
      </w:pPr>
      <w:r w:rsidRPr="00A62440">
        <w:rPr>
          <w:rFonts w:ascii="Times New Roman" w:eastAsia="Times New Roman" w:hAnsi="Times New Roman" w:cs="Times New Roman"/>
          <w:bCs/>
          <w:lang w:val="vi-VN"/>
        </w:rPr>
        <w:t>+  Giá trị hợp lý sử dụng các kỹ thuật định giá phù hợp được phê duyệt bởi BĐDQ</w:t>
      </w:r>
    </w:p>
    <w:p w14:paraId="76B5CA1D"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hoặc soát xét; </w:t>
      </w:r>
    </w:p>
    <w:p w14:paraId="6D7BB5D1"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mua.</w:t>
      </w:r>
    </w:p>
    <w:p w14:paraId="22D4284F" w14:textId="08EC54BE"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phiếu của tổ chức trong tình trạng giải thể, phá sản</w:t>
      </w:r>
    </w:p>
    <w:p w14:paraId="401B3577"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Là một trong các mức giá sau:</w:t>
      </w:r>
    </w:p>
    <w:p w14:paraId="6EDEFD1B"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- 80% giá trị thanh lý của cổ phiếu đó tại ngày lập bảng cân đối kế toán gần nhất trước ngày định giá; hoặc</w:t>
      </w:r>
    </w:p>
    <w:p w14:paraId="5A3A67E8"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đã được BĐDQ chấp thuận.</w:t>
      </w:r>
    </w:p>
    <w:p w14:paraId="65664DFB" w14:textId="1A44BE04"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Cổ phần và phần góp vốn khác.</w:t>
      </w:r>
    </w:p>
    <w:p w14:paraId="20CA7F4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thị trường là giá trung bình của các giao dịch thực hiện thành công tại ngày giao dịch gần nhất trước ngày định giá do các tổ chức báo giá cung cấp.</w:t>
      </w:r>
    </w:p>
    <w:p w14:paraId="1E7D69F9" w14:textId="77777777" w:rsidR="00CC55FD"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 Trường hợp không có báo giá từ các tổ chức báo giá thì mức giá được xác định theo thứ tự như sau:</w:t>
      </w:r>
    </w:p>
    <w:p w14:paraId="5F680515" w14:textId="5C64B4EA"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mua/Giá trị vốn góp; </w:t>
      </w:r>
    </w:p>
    <w:p w14:paraId="3497CCDF"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trị sổ sách theo báo cáo tài chính gần nhất đã được kiểm toán; </w:t>
      </w:r>
    </w:p>
    <w:p w14:paraId="6323A5D3" w14:textId="77777777" w:rsidR="006820F2"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Giá xác định theo phương pháp được BĐDQ chấp thuận.</w:t>
      </w:r>
    </w:p>
    <w:p w14:paraId="6A43F857" w14:textId="2DBA678F"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w:t>
      </w:r>
    </w:p>
    <w:p w14:paraId="4C9B0436" w14:textId="77777777"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xml:space="preserve">- Giá đóng cửa hoặc tên gọi khác tùy thuộc vào quy định nội bộ của Sở giao dịch chứng khoán tại ngày giao dịch gần nhất trước ngày định giá. </w:t>
      </w:r>
    </w:p>
    <w:p w14:paraId="71FD66F4" w14:textId="31E4BE4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00CC55FD" w:rsidRPr="00A62440">
        <w:rPr>
          <w:rFonts w:ascii="Times New Roman" w:eastAsia="Times New Roman" w:hAnsi="Times New Roman" w:cs="Times New Roman"/>
          <w:bCs/>
          <w:lang w:val="vi-VN"/>
        </w:rPr>
        <w:t>.</w:t>
      </w:r>
    </w:p>
    <w:p w14:paraId="21638897" w14:textId="2A4AA7A1"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Chứng khoán phái sinh niêm yết không có báo giá thị trường: Giá xác định theo phương pháp đã được BĐDQ chấp thuận.</w:t>
      </w:r>
    </w:p>
    <w:p w14:paraId="027BDCB4" w14:textId="292BF612" w:rsidR="008E5ADB"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Các tài sản khác được phép đầu tư</w:t>
      </w:r>
    </w:p>
    <w:p w14:paraId="4CA2AD93" w14:textId="76A88AE3" w:rsidR="002026EF" w:rsidRPr="00A62440" w:rsidRDefault="008E5ADB" w:rsidP="00A62440">
      <w:pPr>
        <w:spacing w:before="120" w:after="120" w:line="240" w:lineRule="auto"/>
        <w:jc w:val="both"/>
        <w:rPr>
          <w:rFonts w:ascii="Times New Roman" w:eastAsia="Times New Roman" w:hAnsi="Times New Roman" w:cs="Times New Roman"/>
          <w:bCs/>
          <w:lang w:val="vi-VN"/>
        </w:rPr>
      </w:pPr>
      <w:r w:rsidRPr="00A62440">
        <w:rPr>
          <w:rFonts w:ascii="Times New Roman" w:eastAsia="Times New Roman" w:hAnsi="Times New Roman" w:cs="Times New Roman"/>
          <w:bCs/>
          <w:lang w:val="vi-VN"/>
        </w:rPr>
        <w:t>Giá xác định theo phương pháp định giá được BĐDQ của Quỹ phê duyệt.</w:t>
      </w:r>
      <w:r w:rsidR="006820F2" w:rsidRPr="006820F2" w:rsidDel="008E5ADB">
        <w:rPr>
          <w:rFonts w:ascii="Times New Roman" w:eastAsia="Times New Roman" w:hAnsi="Times New Roman" w:cs="Times New Roman"/>
          <w:bCs/>
          <w:lang w:val="vi-VN"/>
        </w:rPr>
        <w:t xml:space="preserve"> </w:t>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r w:rsidR="008205F7" w:rsidRPr="00A62440">
        <w:rPr>
          <w:rFonts w:ascii="Times New Roman" w:eastAsia="Times New Roman" w:hAnsi="Times New Roman" w:cs="Times New Roman"/>
          <w:bCs/>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CC55FD" w14:paraId="19D9F3B3" w14:textId="77777777" w:rsidTr="002026EF">
        <w:trPr>
          <w:trHeight w:val="281"/>
        </w:trPr>
        <w:tc>
          <w:tcPr>
            <w:tcW w:w="1434" w:type="pct"/>
          </w:tcPr>
          <w:p w14:paraId="17E9B36D"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lập</w:t>
            </w:r>
            <w:proofErr w:type="spellEnd"/>
            <w:r w:rsidRPr="00A62440">
              <w:rPr>
                <w:rFonts w:ascii="Times New Roman" w:hAnsi="Times New Roman" w:cs="Times New Roman"/>
              </w:rPr>
              <w:t>:</w:t>
            </w:r>
          </w:p>
        </w:tc>
        <w:tc>
          <w:tcPr>
            <w:tcW w:w="290" w:type="pct"/>
          </w:tcPr>
          <w:p w14:paraId="7B9519F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Pr>
          <w:p w14:paraId="2211E981"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c>
          <w:tcPr>
            <w:tcW w:w="262" w:type="pct"/>
          </w:tcPr>
          <w:p w14:paraId="2437CC8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Pr>
          <w:p w14:paraId="0BAD7E7B"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roofErr w:type="spellStart"/>
            <w:r w:rsidRPr="00A62440">
              <w:rPr>
                <w:rFonts w:ascii="Times New Roman" w:hAnsi="Times New Roman" w:cs="Times New Roman"/>
              </w:rPr>
              <w:t>Người</w:t>
            </w:r>
            <w:proofErr w:type="spellEnd"/>
            <w:r w:rsidRPr="00A62440">
              <w:rPr>
                <w:rFonts w:ascii="Times New Roman" w:hAnsi="Times New Roman" w:cs="Times New Roman"/>
              </w:rPr>
              <w:t xml:space="preserve"> </w:t>
            </w:r>
            <w:proofErr w:type="spellStart"/>
            <w:r w:rsidRPr="00A62440">
              <w:rPr>
                <w:rFonts w:ascii="Times New Roman" w:hAnsi="Times New Roman" w:cs="Times New Roman"/>
              </w:rPr>
              <w:t>duyệt</w:t>
            </w:r>
            <w:proofErr w:type="spellEnd"/>
            <w:r w:rsidRPr="00A62440">
              <w:rPr>
                <w:rFonts w:ascii="Times New Roman" w:hAnsi="Times New Roman" w:cs="Times New Roman"/>
              </w:rPr>
              <w:t>:</w:t>
            </w:r>
          </w:p>
        </w:tc>
      </w:tr>
      <w:tr w:rsidR="002026EF" w:rsidRPr="00CC55FD" w14:paraId="7B1909E8" w14:textId="77777777" w:rsidTr="002026EF">
        <w:trPr>
          <w:trHeight w:val="445"/>
        </w:trPr>
        <w:tc>
          <w:tcPr>
            <w:tcW w:w="1434" w:type="pct"/>
            <w:tcBorders>
              <w:bottom w:val="single" w:sz="4" w:space="0" w:color="auto"/>
            </w:tcBorders>
          </w:tcPr>
          <w:p w14:paraId="5966EAA6"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C44CD3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820BA0"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p w14:paraId="5604E5FF" w14:textId="77777777" w:rsidR="002026EF" w:rsidRPr="00A62440" w:rsidRDefault="002026EF" w:rsidP="00A62440">
            <w:pPr>
              <w:keepNext/>
              <w:tabs>
                <w:tab w:val="center" w:pos="2268"/>
                <w:tab w:val="center" w:pos="5670"/>
              </w:tabs>
              <w:spacing w:line="240" w:lineRule="auto"/>
              <w:rPr>
                <w:rFonts w:ascii="Times New Roman" w:hAnsi="Times New Roman" w:cs="Times New Roman"/>
              </w:rPr>
            </w:pPr>
          </w:p>
        </w:tc>
        <w:tc>
          <w:tcPr>
            <w:tcW w:w="290" w:type="pct"/>
          </w:tcPr>
          <w:p w14:paraId="14F83E8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12" w:type="pct"/>
            <w:tcBorders>
              <w:bottom w:val="single" w:sz="4" w:space="0" w:color="auto"/>
            </w:tcBorders>
          </w:tcPr>
          <w:p w14:paraId="12849C0A"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262" w:type="pct"/>
          </w:tcPr>
          <w:p w14:paraId="0462E5EE"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c>
          <w:tcPr>
            <w:tcW w:w="1502" w:type="pct"/>
            <w:tcBorders>
              <w:bottom w:val="single" w:sz="4" w:space="0" w:color="auto"/>
            </w:tcBorders>
          </w:tcPr>
          <w:p w14:paraId="611B9B13" w14:textId="77777777" w:rsidR="002026EF" w:rsidRPr="00A62440" w:rsidRDefault="002026EF" w:rsidP="00A62440">
            <w:pPr>
              <w:keepNext/>
              <w:tabs>
                <w:tab w:val="center" w:pos="2268"/>
                <w:tab w:val="center" w:pos="5670"/>
              </w:tabs>
              <w:spacing w:line="240" w:lineRule="auto"/>
              <w:jc w:val="center"/>
              <w:rPr>
                <w:rFonts w:ascii="Times New Roman" w:hAnsi="Times New Roman" w:cs="Times New Roman"/>
              </w:rPr>
            </w:pPr>
          </w:p>
        </w:tc>
      </w:tr>
      <w:tr w:rsidR="002026EF" w:rsidRPr="00CC55FD" w14:paraId="4FF32515" w14:textId="77777777" w:rsidTr="002026EF">
        <w:trPr>
          <w:trHeight w:val="545"/>
        </w:trPr>
        <w:tc>
          <w:tcPr>
            <w:tcW w:w="1434" w:type="pct"/>
            <w:tcBorders>
              <w:top w:val="single" w:sz="4" w:space="0" w:color="auto"/>
            </w:tcBorders>
          </w:tcPr>
          <w:p w14:paraId="697D4735" w14:textId="3AE5295D"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90" w:type="pct"/>
          </w:tcPr>
          <w:p w14:paraId="0621BA4A"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rPr>
            </w:pPr>
          </w:p>
        </w:tc>
        <w:tc>
          <w:tcPr>
            <w:tcW w:w="1512" w:type="pct"/>
            <w:tcBorders>
              <w:top w:val="single" w:sz="4" w:space="0" w:color="auto"/>
            </w:tcBorders>
          </w:tcPr>
          <w:p w14:paraId="74C4E6E8" w14:textId="0470BB3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rPr>
            </w:pPr>
          </w:p>
        </w:tc>
        <w:tc>
          <w:tcPr>
            <w:tcW w:w="262" w:type="pct"/>
          </w:tcPr>
          <w:p w14:paraId="40DB3C01" w14:textId="77777777"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lang w:val="es-HN"/>
              </w:rPr>
            </w:pPr>
          </w:p>
        </w:tc>
        <w:tc>
          <w:tcPr>
            <w:tcW w:w="1502" w:type="pct"/>
            <w:tcBorders>
              <w:top w:val="single" w:sz="4" w:space="0" w:color="auto"/>
            </w:tcBorders>
          </w:tcPr>
          <w:p w14:paraId="69F0A4E7" w14:textId="73CAEC11" w:rsidR="002026EF" w:rsidRPr="00A62440" w:rsidRDefault="002026EF" w:rsidP="00734794">
            <w:pPr>
              <w:keepNext/>
              <w:tabs>
                <w:tab w:val="center" w:pos="2268"/>
                <w:tab w:val="center" w:pos="5670"/>
              </w:tabs>
              <w:spacing w:after="120" w:line="240" w:lineRule="auto"/>
              <w:jc w:val="center"/>
              <w:rPr>
                <w:rFonts w:ascii="Times New Roman" w:hAnsi="Times New Roman" w:cs="Times New Roman"/>
                <w:i/>
                <w:iCs/>
                <w:lang w:val="es-HN"/>
              </w:rPr>
            </w:pPr>
          </w:p>
        </w:tc>
      </w:tr>
      <w:bookmarkEnd w:id="0"/>
    </w:tbl>
    <w:p w14:paraId="3DE27770" w14:textId="77777777" w:rsidR="00A90089" w:rsidRPr="00CC55FD" w:rsidRDefault="00A90089" w:rsidP="00A62440">
      <w:pPr>
        <w:spacing w:line="240" w:lineRule="auto"/>
        <w:rPr>
          <w:rFonts w:ascii="Times New Roman" w:hAnsi="Times New Roman" w:cs="Times New Roman"/>
          <w:b/>
          <w:lang w:val="es-HN"/>
        </w:rPr>
      </w:pPr>
    </w:p>
    <w:sectPr w:rsidR="00A90089" w:rsidRPr="00CC55FD" w:rsidSect="00667503">
      <w:headerReference w:type="even" r:id="rId8"/>
      <w:headerReference w:type="default" r:id="rId9"/>
      <w:footerReference w:type="default" r:id="rId10"/>
      <w:headerReference w:type="first" r:id="rId11"/>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56D76" w14:textId="77777777" w:rsidR="00444CE1" w:rsidRDefault="00444CE1" w:rsidP="001C71B0">
      <w:pPr>
        <w:spacing w:after="0" w:line="240" w:lineRule="auto"/>
      </w:pPr>
      <w:r>
        <w:separator/>
      </w:r>
    </w:p>
  </w:endnote>
  <w:endnote w:type="continuationSeparator" w:id="0">
    <w:p w14:paraId="49D555F1" w14:textId="77777777" w:rsidR="00444CE1" w:rsidRDefault="00444CE1" w:rsidP="001C71B0">
      <w:pPr>
        <w:spacing w:after="0" w:line="240" w:lineRule="auto"/>
      </w:pPr>
      <w:r>
        <w:continuationSeparator/>
      </w:r>
    </w:p>
  </w:endnote>
  <w:endnote w:type="continuationNotice" w:id="1">
    <w:p w14:paraId="2614EBE1" w14:textId="77777777" w:rsidR="00444CE1" w:rsidRDefault="00444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5"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7AA1DD" w14:textId="77777777" w:rsidR="00444CE1" w:rsidRDefault="00444CE1" w:rsidP="001C71B0">
      <w:pPr>
        <w:spacing w:after="0" w:line="240" w:lineRule="auto"/>
      </w:pPr>
      <w:r>
        <w:separator/>
      </w:r>
    </w:p>
  </w:footnote>
  <w:footnote w:type="continuationSeparator" w:id="0">
    <w:p w14:paraId="071133F9" w14:textId="77777777" w:rsidR="00444CE1" w:rsidRDefault="00444CE1" w:rsidP="001C71B0">
      <w:pPr>
        <w:spacing w:after="0" w:line="240" w:lineRule="auto"/>
      </w:pPr>
      <w:r>
        <w:continuationSeparator/>
      </w:r>
    </w:p>
  </w:footnote>
  <w:footnote w:type="continuationNotice" w:id="1">
    <w:p w14:paraId="327A8114" w14:textId="77777777" w:rsidR="00444CE1" w:rsidRDefault="00444C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3CDA0" w14:textId="49E167A8" w:rsidR="00E83B86" w:rsidRDefault="00E83B86">
    <w:pPr>
      <w:pStyle w:val="Header"/>
    </w:pPr>
    <w:r>
      <w:rPr>
        <w:noProof/>
      </w:rPr>
      <mc:AlternateContent>
        <mc:Choice Requires="wps">
          <w:drawing>
            <wp:anchor distT="0" distB="0" distL="0" distR="0" simplePos="0" relativeHeight="251658241" behindDoc="0" locked="0" layoutInCell="1" allowOverlap="1" wp14:anchorId="67526F19" wp14:editId="5A86CF13">
              <wp:simplePos x="635" y="635"/>
              <wp:positionH relativeFrom="page">
                <wp:align>left</wp:align>
              </wp:positionH>
              <wp:positionV relativeFrom="page">
                <wp:align>top</wp:align>
              </wp:positionV>
              <wp:extent cx="443865" cy="443865"/>
              <wp:effectExtent l="0" t="0" r="12065" b="1270"/>
              <wp:wrapNone/>
              <wp:docPr id="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7526F19" id="_x0000_t202" coordsize="21600,21600" o:spt="202" path="m,l,21600r21600,l21600,xe">
              <v:stroke joinstyle="miter"/>
              <v:path gradientshapeok="t" o:connecttype="rect"/>
            </v:shapetype>
            <v:shape id="Text Box 3" o:spid="_x0000_s1026" type="#_x0000_t202" alt="CONFIDENTIAL"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textbox style="mso-fit-shape-to-text:t" inset="20pt,15pt,0,0">
                <w:txbxContent>
                  <w:p w14:paraId="18851575" w14:textId="4494DE1B"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AA75A" w14:textId="4FD1FD3F" w:rsidR="004D0ED5" w:rsidRDefault="00E83B86">
    <w:pPr>
      <w:pStyle w:val="Header"/>
      <w:jc w:val="center"/>
    </w:pPr>
    <w:r>
      <w:rPr>
        <w:noProof/>
      </w:rPr>
      <mc:AlternateContent>
        <mc:Choice Requires="wps">
          <w:drawing>
            <wp:anchor distT="0" distB="0" distL="0" distR="0" simplePos="0" relativeHeight="251658240" behindDoc="0" locked="0" layoutInCell="1" allowOverlap="1" wp14:anchorId="45ED3E5E" wp14:editId="0C4FA3D0">
              <wp:simplePos x="905347" y="452673"/>
              <wp:positionH relativeFrom="page">
                <wp:align>left</wp:align>
              </wp:positionH>
              <wp:positionV relativeFrom="page">
                <wp:align>top</wp:align>
              </wp:positionV>
              <wp:extent cx="443865" cy="443865"/>
              <wp:effectExtent l="0" t="0" r="12065" b="1270"/>
              <wp:wrapNone/>
              <wp:docPr id="4" name="Text Box 4"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A7F056F" w14:textId="77777777" w:rsidR="000A5204" w:rsidRPr="00821D45" w:rsidRDefault="000A5204" w:rsidP="000A5204">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p w14:paraId="1AF0544D" w14:textId="78CEA439" w:rsidR="00E83B86" w:rsidRPr="00E83B86" w:rsidRDefault="00E83B86" w:rsidP="00E83B86">
                          <w:pPr>
                            <w:spacing w:after="0"/>
                            <w:rPr>
                              <w:rFonts w:ascii="Arial" w:eastAsia="Arial" w:hAnsi="Arial" w:cs="Arial"/>
                              <w:noProof/>
                              <w:color w:val="A80000"/>
                              <w:sz w:val="18"/>
                              <w:szCs w:val="18"/>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5ED3E5E" id="_x0000_t202" coordsize="21600,21600" o:spt="202" path="m,l,21600r21600,l21600,xe">
              <v:stroke joinstyle="miter"/>
              <v:path gradientshapeok="t" o:connecttype="rect"/>
            </v:shapetype>
            <v:shape id="Text Box 4" o:spid="_x0000_s1027" type="#_x0000_t202" alt="CONFIDENTIAL"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textbox style="mso-fit-shape-to-text:t" inset="20pt,15pt,0,0">
                <w:txbxContent>
                  <w:p w14:paraId="2A7F056F" w14:textId="77777777" w:rsidR="000A5204" w:rsidRPr="00821D45" w:rsidRDefault="000A5204" w:rsidP="000A5204">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p w14:paraId="1AF0544D" w14:textId="78CEA439" w:rsidR="00E83B86" w:rsidRPr="00E83B86" w:rsidRDefault="00E83B86" w:rsidP="00E83B86">
                    <w:pPr>
                      <w:spacing w:after="0"/>
                      <w:rPr>
                        <w:rFonts w:ascii="Arial" w:eastAsia="Arial" w:hAnsi="Arial" w:cs="Arial"/>
                        <w:noProof/>
                        <w:color w:val="A80000"/>
                        <w:sz w:val="18"/>
                        <w:szCs w:val="18"/>
                      </w:rPr>
                    </w:pP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86D17F" w14:textId="39ACEEC3" w:rsidR="00E83B86" w:rsidRDefault="00E83B86">
    <w:pPr>
      <w:pStyle w:val="Header"/>
    </w:pPr>
    <w:r>
      <w:rPr>
        <w:noProof/>
      </w:rPr>
      <mc:AlternateContent>
        <mc:Choice Requires="wps">
          <w:drawing>
            <wp:anchor distT="0" distB="0" distL="0" distR="0" simplePos="0" relativeHeight="251658242" behindDoc="0" locked="0" layoutInCell="1" allowOverlap="1" wp14:anchorId="3A5070A1" wp14:editId="21F6FD08">
              <wp:simplePos x="635" y="635"/>
              <wp:positionH relativeFrom="page">
                <wp:align>left</wp:align>
              </wp:positionH>
              <wp:positionV relativeFrom="page">
                <wp:align>top</wp:align>
              </wp:positionV>
              <wp:extent cx="443865" cy="443865"/>
              <wp:effectExtent l="0" t="0" r="12065" b="1270"/>
              <wp:wrapNone/>
              <wp:docPr id="2"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A5070A1" id="_x0000_t202" coordsize="21600,21600" o:spt="202" path="m,l,21600r21600,l21600,xe">
              <v:stroke joinstyle="miter"/>
              <v:path gradientshapeok="t" o:connecttype="rect"/>
            </v:shapetype>
            <v:shape id="Text Box 2" o:spid="_x0000_s1028" type="#_x0000_t202" alt="CONFIDENTIAL" style="position:absolute;margin-left:0;margin-top:0;width:34.95pt;height:34.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textbox style="mso-fit-shape-to-text:t" inset="20pt,15pt,0,0">
                <w:txbxContent>
                  <w:p w14:paraId="2D7F8C97" w14:textId="114145EA" w:rsidR="00E83B86" w:rsidRPr="00E83B86" w:rsidRDefault="00E83B86" w:rsidP="00E83B86">
                    <w:pPr>
                      <w:spacing w:after="0"/>
                      <w:rPr>
                        <w:rFonts w:ascii="Arial" w:eastAsia="Arial" w:hAnsi="Arial" w:cs="Arial"/>
                        <w:noProof/>
                        <w:color w:val="A80000"/>
                        <w:sz w:val="18"/>
                        <w:szCs w:val="18"/>
                      </w:rPr>
                    </w:pPr>
                    <w:r w:rsidRPr="00E83B86">
                      <w:rPr>
                        <w:rFonts w:ascii="Arial" w:eastAsia="Arial" w:hAnsi="Arial" w:cs="Arial"/>
                        <w:noProof/>
                        <w:color w:val="A80000"/>
                        <w:sz w:val="18"/>
                        <w:szCs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A5204"/>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058A2"/>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29F6"/>
    <w:rsid w:val="003433EA"/>
    <w:rsid w:val="00344459"/>
    <w:rsid w:val="00347039"/>
    <w:rsid w:val="00347520"/>
    <w:rsid w:val="00347780"/>
    <w:rsid w:val="00351F33"/>
    <w:rsid w:val="00352ACF"/>
    <w:rsid w:val="00354262"/>
    <w:rsid w:val="0036095A"/>
    <w:rsid w:val="00361974"/>
    <w:rsid w:val="00366D58"/>
    <w:rsid w:val="00367596"/>
    <w:rsid w:val="00370C2C"/>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CE1"/>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06F65"/>
    <w:rsid w:val="0051037E"/>
    <w:rsid w:val="005136AD"/>
    <w:rsid w:val="005139E8"/>
    <w:rsid w:val="00514257"/>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0F2"/>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4794"/>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39A5"/>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ADB"/>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67FA"/>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E72E6"/>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2440"/>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A7AB2"/>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0A4A"/>
    <w:rsid w:val="00C613BC"/>
    <w:rsid w:val="00C65758"/>
    <w:rsid w:val="00C7039D"/>
    <w:rsid w:val="00C722A0"/>
    <w:rsid w:val="00C77981"/>
    <w:rsid w:val="00C80596"/>
    <w:rsid w:val="00C8086B"/>
    <w:rsid w:val="00C81B06"/>
    <w:rsid w:val="00C848A5"/>
    <w:rsid w:val="00C86D35"/>
    <w:rsid w:val="00C9036B"/>
    <w:rsid w:val="00C91375"/>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55FD"/>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D50"/>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3E8C"/>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3824559">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4809558">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2182178">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onv5vYibT7Pu1vUM5AQ0k+4gM8vFsnr6lyr7Ad5yzds=</DigestValue>
    </Reference>
    <Reference Type="http://www.w3.org/2000/09/xmldsig#Object" URI="#idOfficeObject">
      <DigestMethod Algorithm="http://www.w3.org/2001/04/xmlenc#sha256"/>
      <DigestValue>hmT/bK1E/XuHOdu9bGpipyd3OFWC/Df4R8Lx66MsC3E=</DigestValue>
    </Reference>
    <Reference Type="http://uri.etsi.org/01903#SignedProperties" URI="#idSignedProperties">
      <Transforms>
        <Transform Algorithm="http://www.w3.org/TR/2001/REC-xml-c14n-20010315"/>
      </Transforms>
      <DigestMethod Algorithm="http://www.w3.org/2001/04/xmlenc#sha256"/>
      <DigestValue>u/P3H8+/HjcHhRwfaK6ZWe4ayECn1JnVWCog1MhV5rE=</DigestValue>
    </Reference>
  </SignedInfo>
  <SignatureValue>Kk8B1yhWOJ/6Bdqc/WFtI1u8Ype6W8VenbW9GWHETOI/BxzRHkShEoZeXakKq1bxZRrLZMrHpu+e
f461zG+PoUj3fkM/Kr+T4Dfhrt50erpi9Wfc/4CR06I+Ro5dqvSeavIFPKMXgutClueZn0168iyc
e9Ak8pzWY210WyshEDHVqXqjQzYZi3UjTniuIGpdM5rp2ld0wMCjKg/CA5+fR+xN0/K21DE63OrN
82u7W4SSN8BbwIFo2e/uRYRJa58UZMaY57e/lj02mXwRKkrmEjdTWcrn8p1b36aMwNGEXTCqNJBD
+/0du9RQkojy3hMxAoy9sxDk0IpMSJWa+Q1Jyg==</SignatureValue>
  <KeyInfo>
    <X509Data>
      <X509Certificate>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iBgNVHREEGzAZgRd5ZW5uZ3V5ZW4udGhjQGdtYWlsLmNvbTANBgkqhkiG9w0BAQsFAAOCAQEAfpHMCojyaoLPSI/svGViwjEp1bqXxdbs6iMEVtrhClZgXuraSYztbLp9K8tIjJm78R+NrlYxZ0t0T2/78wrDS0JxLeD63UtzVizmFpZNNaJq55zP1FvcdjncWaN3Z9Rdj//JB6VKBWYoEtP7eZMp0NwQOkMVEznRbPY8e0l3hVFcLJyfZkLxg5XHjrSQEbvCn4XPelC6aQG4W1G4rRE/rB9bMJ2AEHb+zZTIr/6rYMaKQyY4rqkT5y9i/WetXe873GiXyPmsAoWNoXRnI74PTwB+al9bL9lWwtsVv69ktW+IE2KOT8x1f8a8ZTUsuY/sA3U6puFf3rctAGG5CnhV9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SlLsT3Ky0k72MCySauRM+cuV13OqO3ZUz/LM20A1Vns=</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kHEuSjTQ7+PrCjqJCpJ4rRdbNK2JtTU2fc4loGok5Cw=</DigestValue>
      </Reference>
      <Reference URI="/word/document.xml?ContentType=application/vnd.openxmlformats-officedocument.wordprocessingml.document.main+xml">
        <DigestMethod Algorithm="http://www.w3.org/2001/04/xmlenc#sha256"/>
        <DigestValue>DB/wiKcpvVfn4ef1X10x9QLPRrhtvFELrUAupZqSlhg=</DigestValue>
      </Reference>
      <Reference URI="/word/endnotes.xml?ContentType=application/vnd.openxmlformats-officedocument.wordprocessingml.endnotes+xml">
        <DigestMethod Algorithm="http://www.w3.org/2001/04/xmlenc#sha256"/>
        <DigestValue>xnWGoIM4byAaSmSokLOWTrwebJWFHUVT0bJzmUgXUkw=</DigestValue>
      </Reference>
      <Reference URI="/word/fontTable.xml?ContentType=application/vnd.openxmlformats-officedocument.wordprocessingml.fontTable+xml">
        <DigestMethod Algorithm="http://www.w3.org/2001/04/xmlenc#sha256"/>
        <DigestValue>JoP03JdaCmc1Lx8cUoWR1pDCBVfayhNJRuCcN67ak4A=</DigestValue>
      </Reference>
      <Reference URI="/word/footer1.xml?ContentType=application/vnd.openxmlformats-officedocument.wordprocessingml.footer+xml">
        <DigestMethod Algorithm="http://www.w3.org/2001/04/xmlenc#sha256"/>
        <DigestValue>5WEhAWuwAq/2fcEGJDV9cc3ESJs+XVlH4+ZjrTWADLg=</DigestValue>
      </Reference>
      <Reference URI="/word/footnotes.xml?ContentType=application/vnd.openxmlformats-officedocument.wordprocessingml.footnotes+xml">
        <DigestMethod Algorithm="http://www.w3.org/2001/04/xmlenc#sha256"/>
        <DigestValue>NtY8OLB2V2R/v0SIGmc2sAfQlyky9u+Bb5tGuYJatIo=</DigestValue>
      </Reference>
      <Reference URI="/word/header1.xml?ContentType=application/vnd.openxmlformats-officedocument.wordprocessingml.header+xml">
        <DigestMethod Algorithm="http://www.w3.org/2001/04/xmlenc#sha256"/>
        <DigestValue>PKi9bzNw5zS3tsHRXND+m9aQdHCMp1QORnEgmVwZPvo=</DigestValue>
      </Reference>
      <Reference URI="/word/header2.xml?ContentType=application/vnd.openxmlformats-officedocument.wordprocessingml.header+xml">
        <DigestMethod Algorithm="http://www.w3.org/2001/04/xmlenc#sha256"/>
        <DigestValue>CxvJsJUuiP5kOYuq0UqjSrBTXScY5voDeo6zsed6S9w=</DigestValue>
      </Reference>
      <Reference URI="/word/header3.xml?ContentType=application/vnd.openxmlformats-officedocument.wordprocessingml.header+xml">
        <DigestMethod Algorithm="http://www.w3.org/2001/04/xmlenc#sha256"/>
        <DigestValue>HhVbRctZFj1uo6B6/dlQvTn5X1/i/YLhKxXbJTG9wdY=</DigestValue>
      </Reference>
      <Reference URI="/word/numbering.xml?ContentType=application/vnd.openxmlformats-officedocument.wordprocessingml.numbering+xml">
        <DigestMethod Algorithm="http://www.w3.org/2001/04/xmlenc#sha256"/>
        <DigestValue>7sf1IamKIzCokC16o0e9GOJvHLty0SgzpyvehwRVTPs=</DigestValue>
      </Reference>
      <Reference URI="/word/settings.xml?ContentType=application/vnd.openxmlformats-officedocument.wordprocessingml.settings+xml">
        <DigestMethod Algorithm="http://www.w3.org/2001/04/xmlenc#sha256"/>
        <DigestValue>9vV+jJBx9O3bJSagxQ//d5xDQ0MEoSCKcPd4WZErvmU=</DigestValue>
      </Reference>
      <Reference URI="/word/styles.xml?ContentType=application/vnd.openxmlformats-officedocument.wordprocessingml.styles+xml">
        <DigestMethod Algorithm="http://www.w3.org/2001/04/xmlenc#sha256"/>
        <DigestValue>KfKpMCZ4w9jZ3xWGfb/EO4RMWsHuVt2Rhb18568d6SQ=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DiJYDQQKAbypK4nxmjLbss4OQzQciUypeAX+97vMs1Q=</DigestValue>
      </Reference>
    </Manifest>
    <SignatureProperties>
      <SignatureProperty Id="idSignatureTime" Target="#idPackageSignature">
        <mdssi:SignatureTime xmlns:mdssi="http://schemas.openxmlformats.org/package/2006/digital-signature">
          <mdssi:Format>YYYY-MM-DDThh:mm:ssTZD</mdssi:Format>
          <mdssi:Value>2025-01-20T12:31:33Z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1</SignatureComments>
          <WindowsVersion>10.0</WindowsVersion>
          <OfficeVersion>16.0.18025/26</OfficeVersion>
          <ApplicationVersion>16.0.18025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2025-01-20T12:31:33Z</xd:SigningTime>
          <xd:SigningCertificate>
            <xd:Cert>
              <xd:CertDigest>
                <DigestMethod Algorithm="http://www.w3.org/2001/04/xmlenc#sha256"/>
                <DigestValue>95AhFUTA+DCzOBohznYH+TH4pql2/W7DPbi2Mj3Sccc=</DigestValue>
              </xd:CertDigest>
              <xd:IssuerSerial>
                <X509IssuerName>CN=VNPT-CA SHA-256, O=VIETNAM POSTS AND TELECOMMUNICATIONS GROUP, C=VN</X509IssuerName>
                <X509SerialNumber>111660364328970518462937560028373299595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76274c26-8161-4bde-aa07-b2b522e14278}" enabled="1" method="Privileged" siteId="{b44900f1-2def-4c3b-9ec6-9020d604e19e}"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Template>
  <TotalTime>8</TotalTime>
  <Pages>6</Pages>
  <Words>2885</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Thanh Hai</cp:lastModifiedBy>
  <cp:revision>6</cp:revision>
  <cp:lastPrinted>2020-01-16T08:54:00Z</cp:lastPrinted>
  <dcterms:created xsi:type="dcterms:W3CDTF">2024-08-06T03:32:00Z</dcterms:created>
  <dcterms:modified xsi:type="dcterms:W3CDTF">2025-01-20T12:31:00Z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2,3,4</vt:lpwstr>
  </property>
  <property fmtid="{D5CDD505-2E9C-101B-9397-08002B2CF9AE}" pid="13" name="ClassificationContentMarkingHeaderFontProps">
    <vt:lpwstr>#a80000,9,Arial</vt:lpwstr>
  </property>
  <property fmtid="{D5CDD505-2E9C-101B-9397-08002B2CF9AE}" pid="14" name="ClassificationContentMarkingHeaderText">
    <vt:lpwstr>CONFIDENTIAL</vt:lpwstr>
  </property>
</Properties>
</file>